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501A" w14:textId="77777777" w:rsidR="00D85BF5" w:rsidRPr="00D85BF5" w:rsidRDefault="00D85BF5" w:rsidP="00D85BF5">
      <w:pPr>
        <w:rPr>
          <w:rFonts w:ascii="Calibri" w:eastAsia="Times New Roman" w:hAnsi="Calibri" w:cs="Calibri"/>
          <w:sz w:val="32"/>
          <w:szCs w:val="32"/>
          <w:lang w:eastAsia="en-GB"/>
        </w:rPr>
      </w:pPr>
      <w:r w:rsidRPr="00D85BF5">
        <w:rPr>
          <w:rFonts w:ascii="Calibri" w:eastAsia="Times New Roman" w:hAnsi="Calibri" w:cs="Calibri"/>
          <w:b/>
          <w:bCs/>
          <w:sz w:val="32"/>
          <w:szCs w:val="32"/>
          <w:lang w:eastAsia="en-GB"/>
        </w:rPr>
        <w:t>Our purpose and mission</w:t>
      </w:r>
    </w:p>
    <w:p w14:paraId="43EEDFAF" w14:textId="5A08EEB9" w:rsidR="00D85BF5" w:rsidRPr="00B71CBF" w:rsidRDefault="00D85BF5" w:rsidP="00D85BF5">
      <w:pPr>
        <w:rPr>
          <w:rFonts w:ascii="Calibri" w:eastAsia="Times New Roman" w:hAnsi="Calibri" w:cs="Calibri"/>
          <w:sz w:val="22"/>
          <w:szCs w:val="22"/>
          <w:lang w:eastAsia="en-GB"/>
        </w:rPr>
      </w:pPr>
      <w:r w:rsidRPr="00D85BF5">
        <w:rPr>
          <w:rFonts w:ascii="Calibri" w:eastAsia="Times New Roman" w:hAnsi="Calibri" w:cs="Calibri"/>
          <w:sz w:val="22"/>
          <w:szCs w:val="22"/>
          <w:lang w:eastAsia="en-GB"/>
        </w:rPr>
        <w:t> </w:t>
      </w:r>
      <w:r w:rsidRPr="00D85BF5">
        <w:rPr>
          <w:rFonts w:ascii="Calibri" w:eastAsia="Times New Roman" w:hAnsi="Calibri" w:cs="Calibri"/>
          <w:color w:val="000000"/>
          <w:sz w:val="22"/>
          <w:szCs w:val="22"/>
          <w:lang w:eastAsia="en-GB"/>
        </w:rPr>
        <w:t> </w:t>
      </w:r>
    </w:p>
    <w:p w14:paraId="3E08034F" w14:textId="4E45A886"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Our ESG strategy underpins Bluestones </w:t>
      </w:r>
      <w:r w:rsidR="00B71CBF">
        <w:rPr>
          <w:rFonts w:ascii="Calibri" w:eastAsia="Times New Roman" w:hAnsi="Calibri" w:cs="Calibri"/>
          <w:color w:val="000000"/>
          <w:sz w:val="22"/>
          <w:szCs w:val="22"/>
          <w:lang w:eastAsia="en-GB"/>
        </w:rPr>
        <w:t>Staffing’s</w:t>
      </w:r>
      <w:r w:rsidRPr="00D85BF5">
        <w:rPr>
          <w:rFonts w:ascii="Calibri" w:eastAsia="Times New Roman" w:hAnsi="Calibri" w:cs="Calibri"/>
          <w:color w:val="000000"/>
          <w:sz w:val="22"/>
          <w:szCs w:val="22"/>
          <w:lang w:eastAsia="en-GB"/>
        </w:rPr>
        <w:t xml:space="preserve"> activities and ensures we actively integrate business ethics, compliance, people and culture, and community involvement, in all that we do for our clients, candidates and other stakeholders. We are committed to making our business sustainable over the medium to long term, including our commitment to achieve Net Zero by 2050.</w:t>
      </w:r>
    </w:p>
    <w:p w14:paraId="5473B32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5ACEDFA"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How we assess ESG</w:t>
      </w:r>
    </w:p>
    <w:p w14:paraId="063297F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DFCBA37" w14:textId="61813042"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Bluestones </w:t>
      </w:r>
      <w:r w:rsidR="00B71CBF">
        <w:rPr>
          <w:rFonts w:ascii="Calibri" w:eastAsia="Times New Roman" w:hAnsi="Calibri" w:cs="Calibri"/>
          <w:color w:val="000000"/>
          <w:sz w:val="22"/>
          <w:szCs w:val="22"/>
          <w:lang w:eastAsia="en-GB"/>
        </w:rPr>
        <w:t>Staffing’s</w:t>
      </w:r>
      <w:r w:rsidRPr="00D85BF5">
        <w:rPr>
          <w:rFonts w:ascii="Calibri" w:eastAsia="Times New Roman" w:hAnsi="Calibri" w:cs="Calibri"/>
          <w:color w:val="000000"/>
          <w:sz w:val="22"/>
          <w:szCs w:val="22"/>
          <w:lang w:eastAsia="en-GB"/>
        </w:rPr>
        <w:t xml:space="preserve"> 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w:t>
      </w:r>
    </w:p>
    <w:p w14:paraId="4380C7DE"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805B1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w:t>
      </w:r>
    </w:p>
    <w:p w14:paraId="5D33CAE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6FC3E03" w14:textId="1CD0018F"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 xml:space="preserve">Bluestones </w:t>
      </w:r>
      <w:r w:rsidR="00CA5202">
        <w:rPr>
          <w:rFonts w:ascii="Calibri" w:eastAsia="Times New Roman" w:hAnsi="Calibri" w:cs="Calibri"/>
          <w:b/>
          <w:bCs/>
          <w:color w:val="000000"/>
          <w:sz w:val="32"/>
          <w:szCs w:val="32"/>
          <w:lang w:eastAsia="en-GB"/>
        </w:rPr>
        <w:t xml:space="preserve">Staffing </w:t>
      </w:r>
      <w:r w:rsidRPr="00D85BF5">
        <w:rPr>
          <w:rFonts w:ascii="Calibri" w:eastAsia="Times New Roman" w:hAnsi="Calibri" w:cs="Calibri"/>
          <w:b/>
          <w:bCs/>
          <w:color w:val="000000"/>
          <w:sz w:val="32"/>
          <w:szCs w:val="32"/>
          <w:lang w:eastAsia="en-GB"/>
        </w:rPr>
        <w:t>2022 ESG assessment score</w:t>
      </w:r>
    </w:p>
    <w:p w14:paraId="35E3CC1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F1A31E6"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Having completed the assessment on 6th April 2022, Bluestones Medical ESG scores were as follows:</w:t>
      </w:r>
    </w:p>
    <w:p w14:paraId="2AF93BB1"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D85BF5" w:rsidRPr="00D85BF5" w14:paraId="0E5253D7"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73C7F3"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A762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240EA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D85BF5" w:rsidRPr="00D85BF5" w14:paraId="3E7B6EBE"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6723A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D01251" w14:textId="7ACB64E1" w:rsidR="00D85BF5" w:rsidRPr="00D85BF5" w:rsidRDefault="000F51F3"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w:t>
            </w:r>
            <w:r w:rsidR="00E214BC">
              <w:rPr>
                <w:rFonts w:ascii="Calibri" w:eastAsia="Times New Roman" w:hAnsi="Calibri" w:cs="Calibri"/>
                <w:color w:val="000000"/>
                <w:sz w:val="22"/>
                <w:szCs w:val="22"/>
                <w:lang w:eastAsia="en-GB"/>
              </w:rPr>
              <w:t>0</w:t>
            </w:r>
            <w:r w:rsidR="00A825AA">
              <w:rPr>
                <w:rFonts w:ascii="Calibri" w:eastAsia="Times New Roman" w:hAnsi="Calibri" w:cs="Calibri"/>
                <w:color w:val="000000"/>
                <w:sz w:val="22"/>
                <w:szCs w:val="22"/>
                <w:lang w:eastAsia="en-GB"/>
              </w:rPr>
              <w:t>.</w:t>
            </w:r>
            <w:r w:rsidR="00E214BC">
              <w:rPr>
                <w:rFonts w:ascii="Calibri" w:eastAsia="Times New Roman" w:hAnsi="Calibri" w:cs="Calibri"/>
                <w:color w:val="000000"/>
                <w:sz w:val="22"/>
                <w:szCs w:val="22"/>
                <w:lang w:eastAsia="en-GB"/>
              </w:rPr>
              <w:t>00</w:t>
            </w:r>
            <w:r w:rsidR="00A825AA">
              <w:rPr>
                <w:rFonts w:ascii="Calibri" w:eastAsia="Times New Roman" w:hAnsi="Calibri" w:cs="Calibri"/>
                <w:color w:val="000000"/>
                <w:sz w:val="22"/>
                <w:szCs w:val="22"/>
                <w:lang w:eastAsia="en-GB"/>
              </w:rPr>
              <w:t>%</w:t>
            </w:r>
            <w:r w:rsidR="00D85BF5"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5B73EF" w14:textId="5B0FFEB8" w:rsidR="00D85BF5" w:rsidRPr="00D85BF5" w:rsidRDefault="00DA7401"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86.67</w:t>
            </w:r>
            <w:r w:rsidR="00D85BF5" w:rsidRPr="00D85BF5">
              <w:rPr>
                <w:rFonts w:ascii="Calibri" w:eastAsia="Times New Roman" w:hAnsi="Calibri" w:cs="Calibri"/>
                <w:color w:val="000000"/>
                <w:sz w:val="22"/>
                <w:szCs w:val="22"/>
                <w:lang w:eastAsia="en-GB"/>
              </w:rPr>
              <w:t>%</w:t>
            </w:r>
          </w:p>
        </w:tc>
      </w:tr>
      <w:tr w:rsidR="00D85BF5" w:rsidRPr="00D85BF5" w14:paraId="4596B11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543D7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C72B9D" w14:textId="07220CEB"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sidR="00DA7401">
              <w:rPr>
                <w:rFonts w:ascii="Calibri" w:eastAsia="Times New Roman" w:hAnsi="Calibri" w:cs="Calibri"/>
                <w:color w:val="000000"/>
                <w:sz w:val="22"/>
                <w:szCs w:val="22"/>
                <w:lang w:eastAsia="en-GB"/>
              </w:rPr>
              <w:t>6.96</w:t>
            </w:r>
            <w:r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10C04" w14:textId="6D1ACDE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sidR="00DA7401">
              <w:rPr>
                <w:rFonts w:ascii="Calibri" w:eastAsia="Times New Roman" w:hAnsi="Calibri" w:cs="Calibri"/>
                <w:color w:val="000000"/>
                <w:sz w:val="22"/>
                <w:szCs w:val="22"/>
                <w:lang w:eastAsia="en-GB"/>
              </w:rPr>
              <w:t>8.70</w:t>
            </w:r>
            <w:r w:rsidRPr="00D85BF5">
              <w:rPr>
                <w:rFonts w:ascii="Calibri" w:eastAsia="Times New Roman" w:hAnsi="Calibri" w:cs="Calibri"/>
                <w:color w:val="000000"/>
                <w:sz w:val="22"/>
                <w:szCs w:val="22"/>
                <w:lang w:eastAsia="en-GB"/>
              </w:rPr>
              <w:t>%</w:t>
            </w:r>
          </w:p>
        </w:tc>
      </w:tr>
      <w:tr w:rsidR="00D85BF5" w:rsidRPr="00D85BF5" w14:paraId="4587AE3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14D60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63FBD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C09E5A" w14:textId="62017E3E"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sidR="000F51F3">
              <w:rPr>
                <w:rFonts w:ascii="Calibri" w:eastAsia="Times New Roman" w:hAnsi="Calibri" w:cs="Calibri"/>
                <w:color w:val="000000"/>
                <w:sz w:val="22"/>
                <w:szCs w:val="22"/>
                <w:lang w:eastAsia="en-GB"/>
              </w:rPr>
              <w:t>33</w:t>
            </w:r>
            <w:r w:rsidRPr="00D85BF5">
              <w:rPr>
                <w:rFonts w:ascii="Calibri" w:eastAsia="Times New Roman" w:hAnsi="Calibri" w:cs="Calibri"/>
                <w:color w:val="000000"/>
                <w:sz w:val="22"/>
                <w:szCs w:val="22"/>
                <w:lang w:eastAsia="en-GB"/>
              </w:rPr>
              <w:t>%</w:t>
            </w:r>
          </w:p>
        </w:tc>
      </w:tr>
      <w:tr w:rsidR="00D85BF5" w:rsidRPr="00D85BF5" w14:paraId="3C9FB592" w14:textId="77777777" w:rsidTr="00D85BF5">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39E26"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46B853" w14:textId="296D1022" w:rsidR="00D85BF5" w:rsidRPr="00D85BF5" w:rsidRDefault="000F51F3" w:rsidP="00D85BF5">
            <w:pPr>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71</w:t>
            </w:r>
            <w:r w:rsidR="00D85BF5" w:rsidRPr="00D85BF5">
              <w:rPr>
                <w:rFonts w:ascii="Calibri" w:eastAsia="Times New Roman" w:hAnsi="Calibri" w:cs="Calibri"/>
                <w:b/>
                <w:bCs/>
                <w:color w:val="000000"/>
                <w:sz w:val="22"/>
                <w:szCs w:val="22"/>
                <w:lang w:eastAsia="en-GB"/>
              </w:rPr>
              <w:t>.</w:t>
            </w:r>
            <w:r>
              <w:rPr>
                <w:rFonts w:ascii="Calibri" w:eastAsia="Times New Roman" w:hAnsi="Calibri" w:cs="Calibri"/>
                <w:b/>
                <w:bCs/>
                <w:color w:val="000000"/>
                <w:sz w:val="22"/>
                <w:szCs w:val="22"/>
                <w:lang w:eastAsia="en-GB"/>
              </w:rPr>
              <w:t>44</w:t>
            </w:r>
            <w:r w:rsidR="00D85BF5"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1A1B8D" w14:textId="36B7605A"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8</w:t>
            </w:r>
            <w:r w:rsidR="00AF6D79">
              <w:rPr>
                <w:rFonts w:ascii="Calibri" w:eastAsia="Times New Roman" w:hAnsi="Calibri" w:cs="Calibri"/>
                <w:b/>
                <w:bCs/>
                <w:color w:val="000000"/>
                <w:sz w:val="22"/>
                <w:szCs w:val="22"/>
                <w:lang w:eastAsia="en-GB"/>
              </w:rPr>
              <w:t>3</w:t>
            </w:r>
            <w:r w:rsidRPr="00D85BF5">
              <w:rPr>
                <w:rFonts w:ascii="Calibri" w:eastAsia="Times New Roman" w:hAnsi="Calibri" w:cs="Calibri"/>
                <w:b/>
                <w:bCs/>
                <w:color w:val="000000"/>
                <w:sz w:val="22"/>
                <w:szCs w:val="22"/>
                <w:lang w:eastAsia="en-GB"/>
              </w:rPr>
              <w:t>.</w:t>
            </w:r>
            <w:r w:rsidR="000F51F3">
              <w:rPr>
                <w:rFonts w:ascii="Calibri" w:eastAsia="Times New Roman" w:hAnsi="Calibri" w:cs="Calibri"/>
                <w:b/>
                <w:bCs/>
                <w:color w:val="000000"/>
                <w:sz w:val="22"/>
                <w:szCs w:val="22"/>
                <w:lang w:eastAsia="en-GB"/>
              </w:rPr>
              <w:t>33</w:t>
            </w:r>
            <w:r w:rsidRPr="00D85BF5">
              <w:rPr>
                <w:rFonts w:ascii="Calibri" w:eastAsia="Times New Roman" w:hAnsi="Calibri" w:cs="Calibri"/>
                <w:b/>
                <w:bCs/>
                <w:color w:val="000000"/>
                <w:sz w:val="22"/>
                <w:szCs w:val="22"/>
                <w:lang w:eastAsia="en-GB"/>
              </w:rPr>
              <w:t>%</w:t>
            </w:r>
          </w:p>
        </w:tc>
      </w:tr>
    </w:tbl>
    <w:p w14:paraId="56056CD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92DE261"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Our key ESG actions</w:t>
      </w:r>
    </w:p>
    <w:p w14:paraId="60526E64"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561D349" w14:textId="77777777" w:rsidR="00D85BF5" w:rsidRPr="00D85BF5" w:rsidRDefault="00D85BF5" w:rsidP="00D85BF5">
      <w:pPr>
        <w:numPr>
          <w:ilvl w:val="0"/>
          <w:numId w:val="1"/>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Environment</w:t>
      </w:r>
    </w:p>
    <w:p w14:paraId="24F37302"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Complete Carbon Reduction Plan (factor E3.1.1)</w:t>
      </w:r>
    </w:p>
    <w:p w14:paraId="2A8FE540" w14:textId="7A29B85A"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With carbon emissions now being monitored, we will introduce additional controls to limit and reduce emissions wherever possible.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E3.1.2)</w:t>
      </w:r>
    </w:p>
    <w:p w14:paraId="6D5A93B3" w14:textId="47E9D324"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w:t>
      </w:r>
      <w:r w:rsidR="00D3040F">
        <w:rPr>
          <w:rFonts w:ascii="Calibri" w:eastAsia="Times New Roman" w:hAnsi="Calibri" w:cs="Calibri"/>
          <w:color w:val="000000"/>
          <w:sz w:val="22"/>
          <w:szCs w:val="22"/>
          <w:lang w:eastAsia="en-GB"/>
        </w:rPr>
        <w:t xml:space="preserve"> continue to ensure all staff are recycling everything they </w:t>
      </w:r>
      <w:r w:rsidR="00DA7401">
        <w:rPr>
          <w:rFonts w:ascii="Calibri" w:eastAsia="Times New Roman" w:hAnsi="Calibri" w:cs="Calibri"/>
          <w:color w:val="000000"/>
          <w:sz w:val="22"/>
          <w:szCs w:val="22"/>
          <w:lang w:eastAsia="en-GB"/>
        </w:rPr>
        <w:t>can,</w:t>
      </w:r>
      <w:r w:rsidR="00D3040F">
        <w:rPr>
          <w:rFonts w:ascii="Calibri" w:eastAsia="Times New Roman" w:hAnsi="Calibri" w:cs="Calibri"/>
          <w:color w:val="000000"/>
          <w:sz w:val="22"/>
          <w:szCs w:val="22"/>
          <w:lang w:eastAsia="en-GB"/>
        </w:rPr>
        <w:t xml:space="preserve"> and we will provide information in our office to highlight the importance of recycling and waste management</w:t>
      </w:r>
      <w:r w:rsidRPr="00D85BF5">
        <w:rPr>
          <w:rFonts w:ascii="Calibri" w:eastAsia="Times New Roman" w:hAnsi="Calibri" w:cs="Calibri"/>
          <w:color w:val="000000"/>
          <w:sz w:val="22"/>
          <w:szCs w:val="22"/>
          <w:lang w:eastAsia="en-GB"/>
        </w:rPr>
        <w:t>. (factor E7.2)</w:t>
      </w:r>
    </w:p>
    <w:p w14:paraId="46E136DC" w14:textId="77777777" w:rsidR="00D85BF5" w:rsidRPr="00D85BF5" w:rsidRDefault="00D85BF5" w:rsidP="00D85BF5">
      <w:pPr>
        <w:numPr>
          <w:ilvl w:val="0"/>
          <w:numId w:val="2"/>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Social</w:t>
      </w:r>
    </w:p>
    <w:p w14:paraId="49026113" w14:textId="2B2926FD" w:rsid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investigate whether it's a requirement for us to report on (internal &amp; external) diversity issues, and if it is, incorporate this </w:t>
      </w:r>
      <w:r w:rsidR="00A51244">
        <w:rPr>
          <w:rFonts w:ascii="Calibri" w:eastAsia="Times New Roman" w:hAnsi="Calibri" w:cs="Calibri"/>
          <w:color w:val="000000"/>
          <w:sz w:val="22"/>
          <w:szCs w:val="22"/>
          <w:lang w:eastAsia="en-GB"/>
        </w:rPr>
        <w:t>into</w:t>
      </w:r>
      <w:r w:rsidRPr="00D85BF5">
        <w:rPr>
          <w:rFonts w:ascii="Calibri" w:eastAsia="Times New Roman" w:hAnsi="Calibri" w:cs="Calibri"/>
          <w:color w:val="000000"/>
          <w:sz w:val="22"/>
          <w:szCs w:val="22"/>
          <w:lang w:eastAsia="en-GB"/>
        </w:rPr>
        <w:t xml:space="preserve"> our regular reporting cycle. (</w:t>
      </w:r>
      <w:proofErr w:type="gramStart"/>
      <w:r w:rsidRPr="00D85BF5">
        <w:rPr>
          <w:rFonts w:ascii="Calibri" w:eastAsia="Times New Roman" w:hAnsi="Calibri" w:cs="Calibri"/>
          <w:color w:val="000000"/>
          <w:sz w:val="22"/>
          <w:szCs w:val="22"/>
          <w:lang w:eastAsia="en-GB"/>
        </w:rPr>
        <w:t>factors</w:t>
      </w:r>
      <w:proofErr w:type="gramEnd"/>
      <w:r w:rsidRPr="00D85BF5">
        <w:rPr>
          <w:rFonts w:ascii="Calibri" w:eastAsia="Times New Roman" w:hAnsi="Calibri" w:cs="Calibri"/>
          <w:color w:val="000000"/>
          <w:sz w:val="22"/>
          <w:szCs w:val="22"/>
          <w:lang w:eastAsia="en-GB"/>
        </w:rPr>
        <w:t xml:space="preserve"> S1.1.4 and S1.2.4)</w:t>
      </w:r>
    </w:p>
    <w:p w14:paraId="64C9920C" w14:textId="02AD4623" w:rsidR="00A51244" w:rsidRPr="00D85BF5" w:rsidRDefault="00A51244" w:rsidP="00D85BF5">
      <w:pPr>
        <w:numPr>
          <w:ilvl w:val="1"/>
          <w:numId w:val="3"/>
        </w:numPr>
        <w:textAlignment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We will investigate further training options and when it </w:t>
      </w:r>
      <w:r w:rsidR="00DB24DB">
        <w:rPr>
          <w:rFonts w:ascii="Calibri" w:eastAsia="Times New Roman" w:hAnsi="Calibri" w:cs="Calibri"/>
          <w:color w:val="000000"/>
          <w:sz w:val="22"/>
          <w:szCs w:val="22"/>
          <w:lang w:eastAsia="en-GB"/>
        </w:rPr>
        <w:t>will be</w:t>
      </w:r>
      <w:r>
        <w:rPr>
          <w:rFonts w:ascii="Calibri" w:eastAsia="Times New Roman" w:hAnsi="Calibri" w:cs="Calibri"/>
          <w:color w:val="000000"/>
          <w:sz w:val="22"/>
          <w:szCs w:val="22"/>
          <w:lang w:eastAsia="en-GB"/>
        </w:rPr>
        <w:t xml:space="preserve"> possible </w:t>
      </w:r>
      <w:r w:rsidR="00DB24DB">
        <w:rPr>
          <w:rFonts w:ascii="Calibri" w:eastAsia="Times New Roman" w:hAnsi="Calibri" w:cs="Calibri"/>
          <w:color w:val="000000"/>
          <w:sz w:val="22"/>
          <w:szCs w:val="22"/>
          <w:lang w:eastAsia="en-GB"/>
        </w:rPr>
        <w:t>to undertake them.</w:t>
      </w:r>
      <w:r>
        <w:rPr>
          <w:rFonts w:ascii="Calibri" w:eastAsia="Times New Roman" w:hAnsi="Calibri" w:cs="Calibri"/>
          <w:color w:val="000000"/>
          <w:sz w:val="22"/>
          <w:szCs w:val="22"/>
          <w:lang w:eastAsia="en-GB"/>
        </w:rPr>
        <w:t xml:space="preserve"> (</w:t>
      </w:r>
      <w:proofErr w:type="gramStart"/>
      <w:r>
        <w:rPr>
          <w:rFonts w:ascii="Calibri" w:eastAsia="Times New Roman" w:hAnsi="Calibri" w:cs="Calibri"/>
          <w:color w:val="000000"/>
          <w:sz w:val="22"/>
          <w:szCs w:val="22"/>
          <w:lang w:eastAsia="en-GB"/>
        </w:rPr>
        <w:t>factor</w:t>
      </w:r>
      <w:proofErr w:type="gramEnd"/>
      <w:r>
        <w:rPr>
          <w:rFonts w:ascii="Calibri" w:eastAsia="Times New Roman" w:hAnsi="Calibri" w:cs="Calibri"/>
          <w:color w:val="000000"/>
          <w:sz w:val="22"/>
          <w:szCs w:val="22"/>
          <w:lang w:eastAsia="en-GB"/>
        </w:rPr>
        <w:t xml:space="preserve"> S1.1.7)</w:t>
      </w:r>
    </w:p>
    <w:p w14:paraId="65D55ABD" w14:textId="77777777"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explore beneficial technology and R&amp;D activities, where appropriate.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S7.1)</w:t>
      </w:r>
    </w:p>
    <w:p w14:paraId="4506FD72" w14:textId="77777777" w:rsidR="00D85BF5" w:rsidRPr="00D85BF5" w:rsidRDefault="00D85BF5" w:rsidP="00D85BF5">
      <w:pPr>
        <w:numPr>
          <w:ilvl w:val="0"/>
          <w:numId w:val="3"/>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Governance</w:t>
      </w:r>
    </w:p>
    <w:p w14:paraId="3835D0C3"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lastRenderedPageBreak/>
        <w:t>We will publish an ESG statement on the company website, including the values and principles we adhere to.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G1.2.1)</w:t>
      </w:r>
    </w:p>
    <w:p w14:paraId="03969439"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ensure annual ESG assessments take place and will be reported via Divisional CEO to the Group Board.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G1.3.1)</w:t>
      </w:r>
    </w:p>
    <w:p w14:paraId="42C0F7D8"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Add a sustainability section to the company website (factor G1.3.3)</w:t>
      </w:r>
    </w:p>
    <w:p w14:paraId="7FF0E897"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be implementing a formal responsible purchasing policy / code of conduct for suppliers, including ESG criteria, within the next 12 months.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G3.3)</w:t>
      </w:r>
    </w:p>
    <w:p w14:paraId="5817E1DD" w14:textId="77777777" w:rsidR="00D85BF5" w:rsidRPr="00D85BF5" w:rsidRDefault="00D85BF5" w:rsidP="00D85BF5">
      <w:pPr>
        <w:ind w:left="540"/>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740C29D" w14:textId="77777777" w:rsidR="00D4428E" w:rsidRDefault="00D4428E"/>
    <w:sectPr w:rsidR="00D442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2E87" w14:textId="77777777" w:rsidR="00E07740" w:rsidRDefault="00E07740" w:rsidP="00D85BF5">
      <w:r>
        <w:separator/>
      </w:r>
    </w:p>
  </w:endnote>
  <w:endnote w:type="continuationSeparator" w:id="0">
    <w:p w14:paraId="592F12CF" w14:textId="77777777" w:rsidR="00E07740" w:rsidRDefault="00E07740" w:rsidP="00D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9D3DFC" w14:paraId="7783E83D" w14:textId="77777777" w:rsidTr="579D3DFC">
      <w:tc>
        <w:tcPr>
          <w:tcW w:w="3005" w:type="dxa"/>
        </w:tcPr>
        <w:p w14:paraId="6D60095E" w14:textId="2FA6F56B" w:rsidR="579D3DFC" w:rsidRDefault="579D3DFC" w:rsidP="579D3DFC">
          <w:pPr>
            <w:pStyle w:val="Header"/>
            <w:ind w:left="-115"/>
          </w:pPr>
        </w:p>
      </w:tc>
      <w:tc>
        <w:tcPr>
          <w:tcW w:w="3005" w:type="dxa"/>
        </w:tcPr>
        <w:p w14:paraId="7D0FF8A8" w14:textId="239BE4B1" w:rsidR="579D3DFC" w:rsidRDefault="579D3DFC" w:rsidP="579D3DFC">
          <w:pPr>
            <w:pStyle w:val="Header"/>
            <w:jc w:val="center"/>
          </w:pPr>
        </w:p>
      </w:tc>
      <w:tc>
        <w:tcPr>
          <w:tcW w:w="3005" w:type="dxa"/>
        </w:tcPr>
        <w:p w14:paraId="02213204" w14:textId="1BDE9473" w:rsidR="579D3DFC" w:rsidRDefault="579D3DFC" w:rsidP="579D3DFC">
          <w:pPr>
            <w:pStyle w:val="Header"/>
            <w:ind w:right="-115"/>
            <w:jc w:val="right"/>
          </w:pPr>
        </w:p>
      </w:tc>
    </w:tr>
  </w:tbl>
  <w:p w14:paraId="630249B9" w14:textId="2623A5C3" w:rsidR="579D3DFC" w:rsidRDefault="579D3DFC" w:rsidP="579D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9126" w14:textId="77777777" w:rsidR="00E07740" w:rsidRDefault="00E07740" w:rsidP="00D85BF5">
      <w:r>
        <w:separator/>
      </w:r>
    </w:p>
  </w:footnote>
  <w:footnote w:type="continuationSeparator" w:id="0">
    <w:p w14:paraId="5BF696D3" w14:textId="77777777" w:rsidR="00E07740" w:rsidRDefault="00E07740" w:rsidP="00D8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88A" w14:textId="38DEFBB4" w:rsidR="00D85BF5" w:rsidRDefault="00D85BF5" w:rsidP="00D85BF5">
    <w:pPr>
      <w:pStyle w:val="Header"/>
      <w:pBdr>
        <w:bottom w:val="single" w:sz="4" w:space="1" w:color="auto"/>
      </w:pBdr>
    </w:pPr>
    <w:r>
      <w:rPr>
        <w:noProof/>
      </w:rPr>
      <w:drawing>
        <wp:anchor distT="0" distB="0" distL="114300" distR="114300" simplePos="0" relativeHeight="251658240" behindDoc="0" locked="0" layoutInCell="1" allowOverlap="1" wp14:anchorId="00922580" wp14:editId="0F66138E">
          <wp:simplePos x="0" y="0"/>
          <wp:positionH relativeFrom="column">
            <wp:posOffset>5196840</wp:posOffset>
          </wp:positionH>
          <wp:positionV relativeFrom="paragraph">
            <wp:posOffset>-587375</wp:posOffset>
          </wp:positionV>
          <wp:extent cx="1258645" cy="1258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8645" cy="1258645"/>
                  </a:xfrm>
                  <a:prstGeom prst="rect">
                    <a:avLst/>
                  </a:prstGeom>
                </pic:spPr>
              </pic:pic>
            </a:graphicData>
          </a:graphic>
          <wp14:sizeRelH relativeFrom="page">
            <wp14:pctWidth>0</wp14:pctWidth>
          </wp14:sizeRelH>
          <wp14:sizeRelV relativeFrom="page">
            <wp14:pctHeight>0</wp14:pctHeight>
          </wp14:sizeRelV>
        </wp:anchor>
      </w:drawing>
    </w:r>
    <w:r>
      <w:t>Bluestones</w:t>
    </w:r>
    <w:r w:rsidR="00A825AA">
      <w:t xml:space="preserve"> Staffing</w:t>
    </w:r>
    <w:r>
      <w:t xml:space="preserve"> – ESG Statement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877"/>
    <w:multiLevelType w:val="multilevel"/>
    <w:tmpl w:val="0FFC798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890796">
    <w:abstractNumId w:val="0"/>
    <w:lvlOverride w:ilvl="0">
      <w:startOverride w:val="1"/>
    </w:lvlOverride>
  </w:num>
  <w:num w:numId="2" w16cid:durableId="15890796">
    <w:abstractNumId w:val="0"/>
    <w:lvlOverride w:ilvl="0"/>
    <w:lvlOverride w:ilvl="1">
      <w:startOverride w:val="1"/>
    </w:lvlOverride>
  </w:num>
  <w:num w:numId="3" w16cid:durableId="15890796">
    <w:abstractNumId w:val="0"/>
    <w:lvlOverride w:ilvl="0"/>
    <w:lvlOverride w:ilvl="1">
      <w:startOverride w:val="1"/>
    </w:lvlOverride>
  </w:num>
  <w:num w:numId="4" w16cid:durableId="15890796">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F5"/>
    <w:rsid w:val="000F51F3"/>
    <w:rsid w:val="003548BA"/>
    <w:rsid w:val="007C62F3"/>
    <w:rsid w:val="008259E4"/>
    <w:rsid w:val="00A00BF8"/>
    <w:rsid w:val="00A51244"/>
    <w:rsid w:val="00A825AA"/>
    <w:rsid w:val="00AF6D79"/>
    <w:rsid w:val="00B0789B"/>
    <w:rsid w:val="00B71CBF"/>
    <w:rsid w:val="00CA5202"/>
    <w:rsid w:val="00D3040F"/>
    <w:rsid w:val="00D4428E"/>
    <w:rsid w:val="00D85BF5"/>
    <w:rsid w:val="00DA7401"/>
    <w:rsid w:val="00DB24DB"/>
    <w:rsid w:val="00E07740"/>
    <w:rsid w:val="00E214BC"/>
    <w:rsid w:val="579D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5183"/>
  <w15:chartTrackingRefBased/>
  <w15:docId w15:val="{6FA31405-9CB5-E942-AD3D-EE07718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85BF5"/>
    <w:pPr>
      <w:tabs>
        <w:tab w:val="center" w:pos="4513"/>
        <w:tab w:val="right" w:pos="9026"/>
      </w:tabs>
    </w:pPr>
  </w:style>
  <w:style w:type="character" w:customStyle="1" w:styleId="HeaderChar">
    <w:name w:val="Header Char"/>
    <w:basedOn w:val="DefaultParagraphFont"/>
    <w:link w:val="Header"/>
    <w:uiPriority w:val="99"/>
    <w:rsid w:val="00D85BF5"/>
  </w:style>
  <w:style w:type="paragraph" w:styleId="Footer">
    <w:name w:val="footer"/>
    <w:basedOn w:val="Normal"/>
    <w:link w:val="FooterChar"/>
    <w:uiPriority w:val="99"/>
    <w:unhideWhenUsed/>
    <w:rsid w:val="00D85BF5"/>
    <w:pPr>
      <w:tabs>
        <w:tab w:val="center" w:pos="4513"/>
        <w:tab w:val="right" w:pos="9026"/>
      </w:tabs>
    </w:pPr>
  </w:style>
  <w:style w:type="character" w:customStyle="1" w:styleId="FooterChar">
    <w:name w:val="Footer Char"/>
    <w:basedOn w:val="DefaultParagraphFont"/>
    <w:link w:val="Footer"/>
    <w:uiPriority w:val="99"/>
    <w:rsid w:val="00D85BF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454">
      <w:bodyDiv w:val="1"/>
      <w:marLeft w:val="0"/>
      <w:marRight w:val="0"/>
      <w:marTop w:val="0"/>
      <w:marBottom w:val="0"/>
      <w:divBdr>
        <w:top w:val="none" w:sz="0" w:space="0" w:color="auto"/>
        <w:left w:val="none" w:sz="0" w:space="0" w:color="auto"/>
        <w:bottom w:val="none" w:sz="0" w:space="0" w:color="auto"/>
        <w:right w:val="none" w:sz="0" w:space="0" w:color="auto"/>
      </w:divBdr>
      <w:divsChild>
        <w:div w:id="999890870">
          <w:marLeft w:val="0"/>
          <w:marRight w:val="0"/>
          <w:marTop w:val="0"/>
          <w:marBottom w:val="0"/>
          <w:divBdr>
            <w:top w:val="none" w:sz="0" w:space="0" w:color="auto"/>
            <w:left w:val="none" w:sz="0" w:space="0" w:color="auto"/>
            <w:bottom w:val="none" w:sz="0" w:space="0" w:color="auto"/>
            <w:right w:val="none" w:sz="0" w:space="0" w:color="auto"/>
          </w:divBdr>
          <w:divsChild>
            <w:div w:id="1520966142">
              <w:marLeft w:val="0"/>
              <w:marRight w:val="0"/>
              <w:marTop w:val="0"/>
              <w:marBottom w:val="0"/>
              <w:divBdr>
                <w:top w:val="none" w:sz="0" w:space="0" w:color="auto"/>
                <w:left w:val="none" w:sz="0" w:space="0" w:color="auto"/>
                <w:bottom w:val="none" w:sz="0" w:space="0" w:color="auto"/>
                <w:right w:val="none" w:sz="0" w:space="0" w:color="auto"/>
              </w:divBdr>
              <w:divsChild>
                <w:div w:id="338317553">
                  <w:marLeft w:val="0"/>
                  <w:marRight w:val="0"/>
                  <w:marTop w:val="0"/>
                  <w:marBottom w:val="0"/>
                  <w:divBdr>
                    <w:top w:val="none" w:sz="0" w:space="0" w:color="auto"/>
                    <w:left w:val="none" w:sz="0" w:space="0" w:color="auto"/>
                    <w:bottom w:val="none" w:sz="0" w:space="0" w:color="auto"/>
                    <w:right w:val="none" w:sz="0" w:space="0" w:color="auto"/>
                  </w:divBdr>
                  <w:divsChild>
                    <w:div w:id="985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53E065707684B8E50DC885149B2BF" ma:contentTypeVersion="9" ma:contentTypeDescription="Create a new document." ma:contentTypeScope="" ma:versionID="a39969b3583013f4ba2db89294cedbaa">
  <xsd:schema xmlns:xsd="http://www.w3.org/2001/XMLSchema" xmlns:xs="http://www.w3.org/2001/XMLSchema" xmlns:p="http://schemas.microsoft.com/office/2006/metadata/properties" xmlns:ns2="bd58863b-88a6-417e-b937-3bc1b1ab2add" xmlns:ns3="fa29568a-2361-465d-9f52-7b0896b5921b" targetNamespace="http://schemas.microsoft.com/office/2006/metadata/properties" ma:root="true" ma:fieldsID="874c71bdeb1f38025efd9881cfb1114f" ns2:_="" ns3:_="">
    <xsd:import namespace="bd58863b-88a6-417e-b937-3bc1b1ab2add"/>
    <xsd:import namespace="fa29568a-2361-465d-9f52-7b0896b592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863b-88a6-417e-b937-3bc1b1ab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65b964-1b43-40b8-9858-7c75a0f615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9568a-2361-465d-9f52-7b0896b592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4c3c528-a8a2-473c-a25b-d0a3288454be}" ma:internalName="TaxCatchAll" ma:showField="CatchAllData" ma:web="fa29568a-2361-465d-9f52-7b0896b59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58863b-88a6-417e-b937-3bc1b1ab2add">
      <Terms xmlns="http://schemas.microsoft.com/office/infopath/2007/PartnerControls"/>
    </lcf76f155ced4ddcb4097134ff3c332f>
    <TaxCatchAll xmlns="fa29568a-2361-465d-9f52-7b0896b5921b" xsi:nil="true"/>
  </documentManagement>
</p:properties>
</file>

<file path=customXml/itemProps1.xml><?xml version="1.0" encoding="utf-8"?>
<ds:datastoreItem xmlns:ds="http://schemas.openxmlformats.org/officeDocument/2006/customXml" ds:itemID="{EF5E9FE3-3651-471F-AE89-5F9C7AF4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863b-88a6-417e-b937-3bc1b1ab2add"/>
    <ds:schemaRef ds:uri="fa29568a-2361-465d-9f52-7b0896b59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0B188-D842-4079-8E22-66741E963977}">
  <ds:schemaRefs>
    <ds:schemaRef ds:uri="http://schemas.microsoft.com/sharepoint/v3/contenttype/forms"/>
  </ds:schemaRefs>
</ds:datastoreItem>
</file>

<file path=customXml/itemProps3.xml><?xml version="1.0" encoding="utf-8"?>
<ds:datastoreItem xmlns:ds="http://schemas.openxmlformats.org/officeDocument/2006/customXml" ds:itemID="{FDAB37CA-238A-4277-B62A-7AA8739CFDED}">
  <ds:schemaRefs>
    <ds:schemaRef ds:uri="http://schemas.microsoft.com/office/2006/metadata/properties"/>
    <ds:schemaRef ds:uri="http://schemas.microsoft.com/office/infopath/2007/PartnerControls"/>
    <ds:schemaRef ds:uri="bd58863b-88a6-417e-b937-3bc1b1ab2add"/>
    <ds:schemaRef ds:uri="fa29568a-2361-465d-9f52-7b0896b5921b"/>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Cody</dc:creator>
  <cp:keywords/>
  <dc:description/>
  <cp:lastModifiedBy>Fay Owen</cp:lastModifiedBy>
  <cp:revision>5</cp:revision>
  <dcterms:created xsi:type="dcterms:W3CDTF">2022-04-19T09:12:00Z</dcterms:created>
  <dcterms:modified xsi:type="dcterms:W3CDTF">2022-09-30T11:04:00Z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0x01010035B4741E9C67E9478E160EFCAB47558C</vt:lpwstr>
  </property>
</Properties>
</file>